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D811D" w14:textId="32FF401C" w:rsidR="00A7525E" w:rsidRPr="00DE3FC8" w:rsidRDefault="00A7525E" w:rsidP="00A7525E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t>3GPP TSG-RAN WG2 #1</w:t>
      </w:r>
      <w:r>
        <w:t>2</w:t>
      </w:r>
      <w:r w:rsidR="00E57D7C">
        <w:t>9</w:t>
      </w:r>
      <w:r w:rsidRPr="00DE3FC8">
        <w:tab/>
      </w:r>
      <w:r w:rsidR="00D2245F" w:rsidRPr="00D2245F">
        <w:rPr>
          <w:sz w:val="32"/>
          <w:szCs w:val="32"/>
        </w:rPr>
        <w:t>R2-2</w:t>
      </w:r>
      <w:r w:rsidR="005136B2" w:rsidRPr="005136B2">
        <w:rPr>
          <w:sz w:val="32"/>
          <w:szCs w:val="32"/>
        </w:rPr>
        <w:t>500709</w:t>
      </w:r>
    </w:p>
    <w:p w14:paraId="4AB9C27D" w14:textId="6AF05394" w:rsidR="00EC1384" w:rsidRDefault="00E57D7C" w:rsidP="00A7525E">
      <w:pPr>
        <w:pStyle w:val="3GPPHeader"/>
      </w:pPr>
      <w:r>
        <w:t>Athens, Greece, 17-21 February</w:t>
      </w:r>
      <w:r w:rsidR="00A7525E">
        <w:tab/>
      </w:r>
    </w:p>
    <w:p w14:paraId="159FD6CE" w14:textId="69A8C7B5" w:rsidR="007500E3" w:rsidRPr="00CE0424" w:rsidRDefault="007500E3" w:rsidP="007500E3">
      <w:pPr>
        <w:pStyle w:val="3GPPHeader"/>
        <w:rPr>
          <w:sz w:val="22"/>
          <w:szCs w:val="22"/>
        </w:rPr>
      </w:pPr>
      <w:r w:rsidRPr="005136B2">
        <w:rPr>
          <w:sz w:val="22"/>
          <w:szCs w:val="22"/>
        </w:rPr>
        <w:t>Agenda Item:</w:t>
      </w:r>
      <w:r w:rsidR="00C1678D" w:rsidRPr="005136B2">
        <w:rPr>
          <w:sz w:val="22"/>
          <w:szCs w:val="22"/>
        </w:rPr>
        <w:t xml:space="preserve"> 7.</w:t>
      </w:r>
      <w:r w:rsidR="008C2603" w:rsidRPr="005136B2">
        <w:rPr>
          <w:sz w:val="22"/>
          <w:szCs w:val="22"/>
        </w:rPr>
        <w:t>0.2.13</w:t>
      </w:r>
    </w:p>
    <w:p w14:paraId="63BD2370" w14:textId="77777777" w:rsidR="007500E3" w:rsidRDefault="007500E3" w:rsidP="007500E3">
      <w:pPr>
        <w:pStyle w:val="3GPPHeader"/>
        <w:rPr>
          <w:sz w:val="22"/>
          <w:szCs w:val="22"/>
        </w:rPr>
      </w:pPr>
    </w:p>
    <w:p w14:paraId="3000630C" w14:textId="12ABCBFB" w:rsidR="007500E3" w:rsidRPr="00CE0424" w:rsidRDefault="007500E3" w:rsidP="007500E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FBFB0F1" w14:textId="0743043F" w:rsidR="00E90E49" w:rsidRPr="00CE0424" w:rsidRDefault="003D3C45" w:rsidP="00977D35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136B2">
        <w:rPr>
          <w:sz w:val="22"/>
          <w:szCs w:val="22"/>
        </w:rPr>
        <w:t>Remaining</w:t>
      </w:r>
      <w:r w:rsidR="00E57D7C">
        <w:rPr>
          <w:sz w:val="22"/>
          <w:szCs w:val="22"/>
        </w:rPr>
        <w:t xml:space="preserve"> details on </w:t>
      </w:r>
      <w:r w:rsidR="00884D14">
        <w:rPr>
          <w:rFonts w:cs="Arial"/>
        </w:rPr>
        <w:t>TDD UL/DL Configuration for Two TA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252BEFE1" w:rsidR="00C24345" w:rsidRDefault="00603551" w:rsidP="00A2052C">
      <w:pPr>
        <w:pStyle w:val="Heading1"/>
      </w:pPr>
      <w:r>
        <w:t xml:space="preserve">Addition of a parameter </w:t>
      </w:r>
      <w:r w:rsidR="00884E66">
        <w:t xml:space="preserve">for </w:t>
      </w:r>
      <w:r w:rsidR="00884E66" w:rsidRPr="00D44DBD">
        <w:t>TDD-UL-D</w:t>
      </w:r>
      <w:r w:rsidR="00884E66">
        <w:t>L configuration</w:t>
      </w:r>
      <w:r w:rsidR="00884E66" w:rsidRPr="00D44DBD">
        <w:t>.</w:t>
      </w:r>
    </w:p>
    <w:p w14:paraId="68923988" w14:textId="42BA5ACC" w:rsidR="00884E66" w:rsidRDefault="00884E66" w:rsidP="00EB302F">
      <w:pPr>
        <w:rPr>
          <w:lang w:eastAsia="en-US"/>
        </w:rPr>
      </w:pPr>
      <w:r>
        <w:rPr>
          <w:lang w:eastAsia="en-US"/>
        </w:rPr>
        <w:t xml:space="preserve">RAN2 received LS in </w:t>
      </w:r>
      <w:r w:rsidR="001E2B0C">
        <w:rPr>
          <w:lang w:eastAsia="en-US"/>
        </w:rPr>
        <w:fldChar w:fldCharType="begin"/>
      </w:r>
      <w:r w:rsidR="001E2B0C">
        <w:rPr>
          <w:lang w:eastAsia="en-US"/>
        </w:rPr>
        <w:instrText xml:space="preserve"> REF _Ref181786588 \r \h </w:instrText>
      </w:r>
      <w:r w:rsidR="001E2B0C">
        <w:rPr>
          <w:lang w:eastAsia="en-US"/>
        </w:rPr>
      </w:r>
      <w:r w:rsidR="001E2B0C">
        <w:rPr>
          <w:lang w:eastAsia="en-US"/>
        </w:rPr>
        <w:fldChar w:fldCharType="separate"/>
      </w:r>
      <w:r w:rsidR="001E2B0C">
        <w:rPr>
          <w:lang w:eastAsia="en-US"/>
        </w:rPr>
        <w:t>[1]</w:t>
      </w:r>
      <w:r w:rsidR="001E2B0C">
        <w:rPr>
          <w:lang w:eastAsia="en-US"/>
        </w:rPr>
        <w:fldChar w:fldCharType="end"/>
      </w:r>
      <w:r w:rsidR="001E2B0C">
        <w:rPr>
          <w:lang w:eastAsia="en-US"/>
        </w:rPr>
        <w:t xml:space="preserve"> </w:t>
      </w:r>
      <w:r w:rsidR="000F5894">
        <w:rPr>
          <w:lang w:eastAsia="en-US"/>
        </w:rPr>
        <w:t xml:space="preserve">which is asking </w:t>
      </w:r>
      <w:r w:rsidR="005822FE">
        <w:rPr>
          <w:lang w:eastAsia="en-US"/>
        </w:rPr>
        <w:t xml:space="preserve">for </w:t>
      </w:r>
      <w:r w:rsidR="00D2245F">
        <w:rPr>
          <w:lang w:eastAsia="en-US"/>
        </w:rPr>
        <w:t xml:space="preserve">an </w:t>
      </w:r>
      <w:r w:rsidR="000F5894" w:rsidRPr="00D44DBD">
        <w:t xml:space="preserve">RRC parameter </w:t>
      </w:r>
      <w:r w:rsidR="000F5894">
        <w:t xml:space="preserve">for </w:t>
      </w:r>
      <w:r w:rsidR="000F5894" w:rsidRPr="00D44DBD">
        <w:t>TDD-UL-DL-</w:t>
      </w:r>
      <w:proofErr w:type="spellStart"/>
      <w:r w:rsidR="000F5894" w:rsidRPr="00D44DBD">
        <w:t>ConfigCommon</w:t>
      </w:r>
      <w:proofErr w:type="spellEnd"/>
      <w:r w:rsidR="000F5894" w:rsidRPr="00D44DBD">
        <w:t xml:space="preserve"> </w:t>
      </w:r>
      <w:r w:rsidR="000F5894">
        <w:t xml:space="preserve">configuration </w:t>
      </w:r>
      <w:r w:rsidR="000F5894" w:rsidRPr="00D44DBD">
        <w:t xml:space="preserve">for each cell for inter-cell </w:t>
      </w:r>
      <w:proofErr w:type="spellStart"/>
      <w:r w:rsidR="000F5894" w:rsidRPr="00D44DBD">
        <w:t>mTRP</w:t>
      </w:r>
      <w:proofErr w:type="spellEnd"/>
      <w:r w:rsidR="000F5894" w:rsidRPr="00D44DBD">
        <w:t xml:space="preserve"> operation.</w:t>
      </w:r>
    </w:p>
    <w:p w14:paraId="7BBA27F3" w14:textId="77777777" w:rsidR="00884E66" w:rsidRDefault="00884E66" w:rsidP="00EB302F">
      <w:pPr>
        <w:rPr>
          <w:lang w:eastAsia="en-US"/>
        </w:rPr>
      </w:pPr>
    </w:p>
    <w:p w14:paraId="5B477A37" w14:textId="77777777" w:rsidR="00C50CEF" w:rsidRDefault="00C50CEF" w:rsidP="00C50CEF">
      <w:pPr>
        <w:ind w:left="567"/>
        <w:rPr>
          <w:rFonts w:cs="Arial"/>
        </w:rPr>
      </w:pPr>
      <w:r>
        <w:rPr>
          <w:rFonts w:cs="Arial"/>
        </w:rPr>
        <w:t xml:space="preserve">For Rel-18 Two TA operation, RAN1 has identified that the RRC parameter </w:t>
      </w:r>
      <w:r w:rsidRPr="00846192">
        <w:rPr>
          <w:rFonts w:cs="Arial"/>
          <w:i/>
          <w:iCs/>
        </w:rPr>
        <w:t>TDD-UL-DL-</w:t>
      </w:r>
      <w:proofErr w:type="spellStart"/>
      <w:r w:rsidRPr="00846192">
        <w:rPr>
          <w:rFonts w:cs="Arial"/>
          <w:i/>
          <w:iCs/>
        </w:rPr>
        <w:t>ConfigCommon</w:t>
      </w:r>
      <w:proofErr w:type="spellEnd"/>
      <w:r>
        <w:rPr>
          <w:rFonts w:cs="Arial"/>
        </w:rPr>
        <w:t xml:space="preserve"> for the </w:t>
      </w:r>
      <w:proofErr w:type="spellStart"/>
      <w:r>
        <w:rPr>
          <w:rFonts w:cs="Arial"/>
        </w:rPr>
        <w:t>neighbour</w:t>
      </w:r>
      <w:proofErr w:type="spellEnd"/>
      <w:r>
        <w:rPr>
          <w:rFonts w:cs="Arial"/>
        </w:rPr>
        <w:t xml:space="preserve"> cell is missing. RAN1 made the following agreement.</w:t>
      </w:r>
    </w:p>
    <w:tbl>
      <w:tblPr>
        <w:tblStyle w:val="TableGrid"/>
        <w:tblW w:w="9629" w:type="dxa"/>
        <w:tblInd w:w="567" w:type="dxa"/>
        <w:tblLook w:val="04A0" w:firstRow="1" w:lastRow="0" w:firstColumn="1" w:lastColumn="0" w:noHBand="0" w:noVBand="1"/>
      </w:tblPr>
      <w:tblGrid>
        <w:gridCol w:w="9629"/>
      </w:tblGrid>
      <w:tr w:rsidR="00C50CEF" w14:paraId="5A102929" w14:textId="77777777" w:rsidTr="00C50CEF">
        <w:tc>
          <w:tcPr>
            <w:tcW w:w="9629" w:type="dxa"/>
          </w:tcPr>
          <w:p w14:paraId="60288910" w14:textId="77777777" w:rsidR="00C50CEF" w:rsidRPr="00574A0A" w:rsidRDefault="00C50CEF" w:rsidP="00B40BCF">
            <w:pPr>
              <w:rPr>
                <w:b/>
              </w:rPr>
            </w:pPr>
            <w:r w:rsidRPr="00574A0A">
              <w:rPr>
                <w:b/>
                <w:highlight w:val="green"/>
              </w:rPr>
              <w:t>Agreement</w:t>
            </w:r>
            <w:r w:rsidRPr="00574A0A">
              <w:rPr>
                <w:b/>
              </w:rPr>
              <w:t xml:space="preserve"> </w:t>
            </w:r>
          </w:p>
          <w:p w14:paraId="0E1F1909" w14:textId="77777777" w:rsidR="00C50CEF" w:rsidRDefault="00C50CEF" w:rsidP="00B40BCF">
            <w:pPr>
              <w:rPr>
                <w:rFonts w:cs="Arial"/>
              </w:rPr>
            </w:pPr>
            <w:r w:rsidRPr="00D44DBD">
              <w:t>Send an LS to RAN2 to ask RAN2 to add missing RRC parameter TDD-UL-DL-</w:t>
            </w:r>
            <w:proofErr w:type="spellStart"/>
            <w:r w:rsidRPr="00D44DBD">
              <w:t>ConfigCommon</w:t>
            </w:r>
            <w:proofErr w:type="spellEnd"/>
            <w:r w:rsidRPr="00D44DBD">
              <w:t xml:space="preserve"> for each cell for inter-cell </w:t>
            </w:r>
            <w:proofErr w:type="spellStart"/>
            <w:r w:rsidRPr="00D44DBD">
              <w:t>mTRP</w:t>
            </w:r>
            <w:proofErr w:type="spellEnd"/>
            <w:r w:rsidRPr="00D44DBD">
              <w:t xml:space="preserve"> operation.</w:t>
            </w:r>
          </w:p>
        </w:tc>
      </w:tr>
    </w:tbl>
    <w:p w14:paraId="39080142" w14:textId="77777777" w:rsidR="00C50CEF" w:rsidRPr="00FF6C41" w:rsidRDefault="00C50CEF" w:rsidP="00C50CEF">
      <w:pPr>
        <w:ind w:left="567"/>
        <w:rPr>
          <w:rFonts w:cs="Arial"/>
        </w:rPr>
      </w:pPr>
    </w:p>
    <w:p w14:paraId="03250205" w14:textId="77777777" w:rsidR="00C50CEF" w:rsidRDefault="00C50CEF" w:rsidP="00C50CEF">
      <w:pPr>
        <w:pStyle w:val="Heading1"/>
        <w:tabs>
          <w:tab w:val="clear" w:pos="432"/>
          <w:tab w:val="num" w:pos="999"/>
        </w:tabs>
        <w:ind w:left="999"/>
      </w:pPr>
      <w:r>
        <w:t>2</w:t>
      </w:r>
      <w:r>
        <w:tab/>
        <w:t>Actions</w:t>
      </w:r>
    </w:p>
    <w:p w14:paraId="3DCB2068" w14:textId="77777777" w:rsidR="00C50CEF" w:rsidRDefault="00C50CEF" w:rsidP="00C50CEF">
      <w:pPr>
        <w:ind w:left="2552" w:hanging="1985"/>
        <w:rPr>
          <w:rFonts w:cs="Arial"/>
          <w:b/>
        </w:rPr>
      </w:pPr>
      <w:r>
        <w:rPr>
          <w:rFonts w:cs="Arial"/>
          <w:b/>
        </w:rPr>
        <w:t xml:space="preserve">To RAN2 </w:t>
      </w:r>
    </w:p>
    <w:p w14:paraId="34A6FE2A" w14:textId="77777777" w:rsidR="00C50CEF" w:rsidRDefault="00C50CEF" w:rsidP="00C50CEF">
      <w:pPr>
        <w:ind w:left="1560" w:hanging="993"/>
        <w:rPr>
          <w:rFonts w:cs="Arial"/>
        </w:rPr>
      </w:pPr>
      <w:r w:rsidRPr="00FF6C41">
        <w:rPr>
          <w:rFonts w:cs="Arial"/>
          <w:b/>
        </w:rPr>
        <w:t xml:space="preserve">ACTION: </w:t>
      </w:r>
      <w:r w:rsidRPr="00FF6C41">
        <w:rPr>
          <w:rFonts w:cs="Arial"/>
          <w:b/>
        </w:rPr>
        <w:tab/>
      </w:r>
      <w:r>
        <w:rPr>
          <w:rFonts w:cs="Arial"/>
        </w:rPr>
        <w:t xml:space="preserve">RAN1 respectfully asks RAN2 to add the RRC parameter </w:t>
      </w:r>
      <w:r w:rsidRPr="00846192">
        <w:rPr>
          <w:rFonts w:cs="Arial"/>
          <w:i/>
          <w:iCs/>
        </w:rPr>
        <w:t>TDD-UL-DL-</w:t>
      </w:r>
      <w:proofErr w:type="spellStart"/>
      <w:r w:rsidRPr="00846192">
        <w:rPr>
          <w:rFonts w:cs="Arial"/>
          <w:i/>
          <w:iCs/>
        </w:rPr>
        <w:t>ConfigCommon</w:t>
      </w:r>
      <w:proofErr w:type="spellEnd"/>
      <w:r>
        <w:rPr>
          <w:rFonts w:cs="Arial"/>
        </w:rPr>
        <w:t xml:space="preserve"> for each cell with </w:t>
      </w:r>
      <w:proofErr w:type="spellStart"/>
      <w:r w:rsidRPr="00846192">
        <w:rPr>
          <w:rFonts w:cs="Arial"/>
          <w:i/>
          <w:iCs/>
        </w:rPr>
        <w:t>additionalPCI</w:t>
      </w:r>
      <w:proofErr w:type="spellEnd"/>
      <w:r>
        <w:rPr>
          <w:rFonts w:cs="Arial"/>
        </w:rPr>
        <w:t xml:space="preserve"> configured for two TA operation.</w:t>
      </w:r>
    </w:p>
    <w:p w14:paraId="0754A2C8" w14:textId="77777777" w:rsidR="00C50CEF" w:rsidRDefault="00C50CEF" w:rsidP="00EB302F">
      <w:pPr>
        <w:rPr>
          <w:lang w:eastAsia="en-US"/>
        </w:rPr>
      </w:pPr>
    </w:p>
    <w:p w14:paraId="5C4A7DF8" w14:textId="77777777" w:rsidR="006077A4" w:rsidRDefault="00FE3A4A" w:rsidP="00EB302F">
      <w:pPr>
        <w:rPr>
          <w:lang w:eastAsia="en-US"/>
        </w:rPr>
      </w:pPr>
      <w:bookmarkStart w:id="0" w:name="_Hlk189056888"/>
      <w:r>
        <w:rPr>
          <w:lang w:eastAsia="en-US"/>
        </w:rPr>
        <w:t xml:space="preserve">In RAN2#128, RAN2 discussed the addition of TDD UL/DL configuration for the </w:t>
      </w:r>
      <w:proofErr w:type="spellStart"/>
      <w:r w:rsidR="006077A4">
        <w:rPr>
          <w:lang w:eastAsia="en-US"/>
        </w:rPr>
        <w:t>additionalPCIs</w:t>
      </w:r>
      <w:proofErr w:type="spellEnd"/>
      <w:r w:rsidR="006077A4">
        <w:rPr>
          <w:lang w:eastAsia="en-US"/>
        </w:rPr>
        <w:t xml:space="preserve">. RAN2 agreed there is no need to clarify the related capability field </w:t>
      </w:r>
      <w:r w:rsidR="006077A4" w:rsidRPr="006077A4">
        <w:rPr>
          <w:lang w:eastAsia="en-US"/>
        </w:rPr>
        <w:t>multiDCI-InterCellMultiTRP-TwoTA-r18</w:t>
      </w:r>
      <w:r w:rsidR="006077A4">
        <w:rPr>
          <w:lang w:eastAsia="en-US"/>
        </w:rPr>
        <w:t xml:space="preserve"> to also support the TDD UL/DL configuration. </w:t>
      </w:r>
    </w:p>
    <w:p w14:paraId="4B923655" w14:textId="19B44487" w:rsidR="00FE3A4A" w:rsidRDefault="006077A4" w:rsidP="00EB302F">
      <w:pPr>
        <w:rPr>
          <w:lang w:eastAsia="en-US"/>
        </w:rPr>
      </w:pPr>
      <w:r>
        <w:rPr>
          <w:lang w:eastAsia="en-US"/>
        </w:rPr>
        <w:lastRenderedPageBreak/>
        <w:t xml:space="preserve">The discussion on how to implement the parameter addition in TS 38.331 did not conclude. There was no consensus whether the TDD UL/DL configuration is to be added to each additional PCI or not. If the configuration is to be added to each </w:t>
      </w:r>
      <w:proofErr w:type="spellStart"/>
      <w:r>
        <w:rPr>
          <w:lang w:eastAsia="en-US"/>
        </w:rPr>
        <w:t>additionalPCI</w:t>
      </w:r>
      <w:proofErr w:type="spellEnd"/>
      <w:r>
        <w:rPr>
          <w:lang w:eastAsia="en-US"/>
        </w:rPr>
        <w:t xml:space="preserve">, then each cell should be a TDD cell. If these are not added to each additional PCI, the views varied between assuming </w:t>
      </w:r>
      <w:r w:rsidR="00D5126B">
        <w:rPr>
          <w:lang w:eastAsia="en-US"/>
        </w:rPr>
        <w:t xml:space="preserve">some of the cells being </w:t>
      </w:r>
      <w:r>
        <w:rPr>
          <w:lang w:eastAsia="en-US"/>
        </w:rPr>
        <w:t xml:space="preserve">FDD cells or </w:t>
      </w:r>
      <w:r w:rsidR="00D5126B">
        <w:rPr>
          <w:lang w:eastAsia="en-US"/>
        </w:rPr>
        <w:t xml:space="preserve">still assuming all of the cells TDD cells. Further, for those TDD cells that did not get own TDD config, one company </w:t>
      </w:r>
      <w:r>
        <w:rPr>
          <w:lang w:eastAsia="en-US"/>
        </w:rPr>
        <w:t>assum</w:t>
      </w:r>
      <w:r w:rsidR="00D5126B">
        <w:rPr>
          <w:lang w:eastAsia="en-US"/>
        </w:rPr>
        <w:t>ed</w:t>
      </w:r>
      <w:r>
        <w:rPr>
          <w:lang w:eastAsia="en-US"/>
        </w:rPr>
        <w:t xml:space="preserve"> the serving cell TDD UL/DL configuration for these </w:t>
      </w:r>
      <w:proofErr w:type="spellStart"/>
      <w:r>
        <w:rPr>
          <w:lang w:eastAsia="en-US"/>
        </w:rPr>
        <w:t>additionaPCIs</w:t>
      </w:r>
      <w:proofErr w:type="spellEnd"/>
      <w:r>
        <w:rPr>
          <w:lang w:eastAsia="en-US"/>
        </w:rPr>
        <w:t>. Our view</w:t>
      </w:r>
      <w:r w:rsidR="00D5126B">
        <w:rPr>
          <w:lang w:eastAsia="en-US"/>
        </w:rPr>
        <w:t>,</w:t>
      </w:r>
      <w:r>
        <w:rPr>
          <w:lang w:eastAsia="en-US"/>
        </w:rPr>
        <w:t xml:space="preserve"> and therefore the proposal</w:t>
      </w:r>
      <w:r w:rsidR="00D5126B">
        <w:rPr>
          <w:lang w:eastAsia="en-US"/>
        </w:rPr>
        <w:t>,</w:t>
      </w:r>
      <w:r>
        <w:rPr>
          <w:lang w:eastAsia="en-US"/>
        </w:rPr>
        <w:t xml:space="preserve"> is to add the </w:t>
      </w:r>
      <w:r w:rsidR="00D5126B">
        <w:rPr>
          <w:lang w:eastAsia="en-US"/>
        </w:rPr>
        <w:t xml:space="preserve">TDD </w:t>
      </w:r>
      <w:r>
        <w:rPr>
          <w:lang w:eastAsia="en-US"/>
        </w:rPr>
        <w:t xml:space="preserve">configuration to each </w:t>
      </w:r>
      <w:proofErr w:type="spellStart"/>
      <w:r>
        <w:rPr>
          <w:lang w:eastAsia="en-US"/>
        </w:rPr>
        <w:t>additionalPCIs</w:t>
      </w:r>
      <w:proofErr w:type="spellEnd"/>
      <w:r>
        <w:rPr>
          <w:lang w:eastAsia="en-US"/>
        </w:rPr>
        <w:t xml:space="preserve"> assuming also PRACH configuration is added to these additional PCIs</w:t>
      </w:r>
      <w:r w:rsidR="00D5126B">
        <w:rPr>
          <w:lang w:eastAsia="en-US"/>
        </w:rPr>
        <w:t>. We</w:t>
      </w:r>
      <w:r>
        <w:rPr>
          <w:lang w:eastAsia="en-US"/>
        </w:rPr>
        <w:t xml:space="preserve"> assum</w:t>
      </w:r>
      <w:r w:rsidR="00D5126B">
        <w:rPr>
          <w:lang w:eastAsia="en-US"/>
        </w:rPr>
        <w:t>e the</w:t>
      </w:r>
      <w:r>
        <w:rPr>
          <w:lang w:eastAsia="en-US"/>
        </w:rPr>
        <w:t xml:space="preserve"> serving cell and the </w:t>
      </w:r>
      <w:proofErr w:type="spellStart"/>
      <w:r>
        <w:rPr>
          <w:lang w:eastAsia="en-US"/>
        </w:rPr>
        <w:t>additionalPCIs</w:t>
      </w:r>
      <w:proofErr w:type="spellEnd"/>
      <w:r>
        <w:rPr>
          <w:lang w:eastAsia="en-US"/>
        </w:rPr>
        <w:t xml:space="preserve"> are all TDD cells</w:t>
      </w:r>
      <w:r w:rsidR="00D5126B">
        <w:rPr>
          <w:lang w:eastAsia="en-US"/>
        </w:rPr>
        <w:t xml:space="preserve"> but it is also ok to have condition on this</w:t>
      </w:r>
      <w:r>
        <w:rPr>
          <w:lang w:eastAsia="en-US"/>
        </w:rPr>
        <w:t>.</w:t>
      </w:r>
    </w:p>
    <w:p w14:paraId="2258924D" w14:textId="77777777" w:rsidR="006077A4" w:rsidRPr="002E1E2E" w:rsidRDefault="006077A4" w:rsidP="006077A4">
      <w:pPr>
        <w:pStyle w:val="Proposal"/>
        <w:ind w:left="1701"/>
        <w:rPr>
          <w:sz w:val="22"/>
          <w:szCs w:val="22"/>
        </w:rPr>
      </w:pPr>
    </w:p>
    <w:p w14:paraId="3AF16246" w14:textId="5CA48153" w:rsidR="006077A4" w:rsidRDefault="006077A4" w:rsidP="006077A4">
      <w:pPr>
        <w:pStyle w:val="Proposal"/>
        <w:numPr>
          <w:ilvl w:val="0"/>
          <w:numId w:val="3"/>
        </w:numPr>
        <w:tabs>
          <w:tab w:val="clear" w:pos="5556"/>
        </w:tabs>
        <w:ind w:left="1701" w:hanging="1701"/>
      </w:pPr>
      <w:bookmarkStart w:id="1" w:name="_Toc189735423"/>
      <w:r>
        <w:t xml:space="preserve">Agree to add configuration for </w:t>
      </w:r>
      <w:r w:rsidRPr="00846192">
        <w:rPr>
          <w:rFonts w:cs="Arial"/>
          <w:i/>
          <w:iCs/>
        </w:rPr>
        <w:t>TDD-UL-DL-</w:t>
      </w:r>
      <w:proofErr w:type="spellStart"/>
      <w:r w:rsidRPr="00846192">
        <w:rPr>
          <w:rFonts w:cs="Arial"/>
          <w:i/>
          <w:iCs/>
        </w:rPr>
        <w:t>ConfigCommon</w:t>
      </w:r>
      <w:proofErr w:type="spellEnd"/>
      <w:r>
        <w:rPr>
          <w:rFonts w:cs="Arial"/>
        </w:rPr>
        <w:t xml:space="preserve"> for each </w:t>
      </w:r>
      <w:proofErr w:type="spellStart"/>
      <w:r>
        <w:rPr>
          <w:rFonts w:cs="Arial"/>
        </w:rPr>
        <w:t>additionalPCI</w:t>
      </w:r>
      <w:proofErr w:type="spellEnd"/>
      <w:r>
        <w:t>.</w:t>
      </w:r>
      <w:bookmarkEnd w:id="1"/>
    </w:p>
    <w:bookmarkEnd w:id="0"/>
    <w:p w14:paraId="084007DB" w14:textId="6A64806E" w:rsidR="004A17F5" w:rsidRDefault="004A17F5" w:rsidP="00EB302F">
      <w:pPr>
        <w:rPr>
          <w:lang w:eastAsia="en-US"/>
        </w:rPr>
      </w:pPr>
    </w:p>
    <w:p w14:paraId="28C60165" w14:textId="2BC7FDFE" w:rsidR="004A17F5" w:rsidRDefault="004A17F5" w:rsidP="00EB302F">
      <w:pPr>
        <w:rPr>
          <w:lang w:eastAsia="en-US"/>
        </w:rPr>
      </w:pPr>
      <w:r>
        <w:rPr>
          <w:lang w:eastAsia="en-US"/>
        </w:rPr>
        <w:t xml:space="preserve">The email discussion </w:t>
      </w:r>
      <w:r w:rsidRPr="004A17F5">
        <w:rPr>
          <w:lang w:eastAsia="en-US"/>
        </w:rPr>
        <w:t>[POST128][008][MIMOevo] RRC CR on TDD UL/DL Configuration for Two TA (Ericsson)</w:t>
      </w:r>
      <w:r>
        <w:rPr>
          <w:lang w:eastAsia="en-US"/>
        </w:rPr>
        <w:t xml:space="preserve"> concluded that the parameter is added </w:t>
      </w:r>
      <w:r w:rsidRPr="004A17F5">
        <w:rPr>
          <w:lang w:eastAsia="en-US"/>
        </w:rPr>
        <w:t xml:space="preserve">in IE </w:t>
      </w:r>
      <w:proofErr w:type="spellStart"/>
      <w:r w:rsidRPr="004A17F5">
        <w:rPr>
          <w:lang w:eastAsia="en-US"/>
        </w:rPr>
        <w:t>ServingCellConfig</w:t>
      </w:r>
      <w:proofErr w:type="spellEnd"/>
      <w:r w:rsidRPr="004A17F5">
        <w:rPr>
          <w:lang w:eastAsia="en-US"/>
        </w:rPr>
        <w:t xml:space="preserve"> </w:t>
      </w:r>
      <w:r>
        <w:rPr>
          <w:lang w:eastAsia="en-US"/>
        </w:rPr>
        <w:t xml:space="preserve">as </w:t>
      </w:r>
      <w:r w:rsidRPr="004A17F5">
        <w:rPr>
          <w:lang w:eastAsia="en-US"/>
        </w:rPr>
        <w:t>a list for TDD-UL-DL-</w:t>
      </w:r>
      <w:proofErr w:type="spellStart"/>
      <w:r w:rsidRPr="004A17F5">
        <w:rPr>
          <w:lang w:eastAsia="en-US"/>
        </w:rPr>
        <w:t>ConfigCommon</w:t>
      </w:r>
      <w:proofErr w:type="spellEnd"/>
      <w:r w:rsidRPr="004A17F5">
        <w:rPr>
          <w:lang w:eastAsia="en-US"/>
        </w:rPr>
        <w:t xml:space="preserve"> configuration for the additional PCIs</w:t>
      </w:r>
      <w:r>
        <w:rPr>
          <w:lang w:eastAsia="en-US"/>
        </w:rPr>
        <w:t xml:space="preserve">. There was consensus to do this by extending the IE </w:t>
      </w:r>
      <w:proofErr w:type="spellStart"/>
      <w:r>
        <w:rPr>
          <w:lang w:eastAsia="en-US"/>
        </w:rPr>
        <w:t>MIMOParam</w:t>
      </w:r>
      <w:proofErr w:type="spellEnd"/>
      <w:r>
        <w:rPr>
          <w:lang w:eastAsia="en-US"/>
        </w:rPr>
        <w:t xml:space="preserve">. </w:t>
      </w:r>
    </w:p>
    <w:p w14:paraId="0A0D96FE" w14:textId="77777777" w:rsidR="004A17F5" w:rsidRDefault="004A17F5" w:rsidP="00EB302F">
      <w:pPr>
        <w:rPr>
          <w:lang w:eastAsia="en-US"/>
        </w:rPr>
      </w:pPr>
    </w:p>
    <w:p w14:paraId="55DD7A31" w14:textId="77777777" w:rsidR="006A229E" w:rsidRPr="002E1E2E" w:rsidRDefault="006A229E" w:rsidP="006A229E">
      <w:pPr>
        <w:pStyle w:val="Proposal"/>
        <w:ind w:left="1701"/>
        <w:rPr>
          <w:sz w:val="22"/>
          <w:szCs w:val="22"/>
        </w:rPr>
      </w:pPr>
    </w:p>
    <w:p w14:paraId="2CA5928D" w14:textId="290D36DE" w:rsidR="006A229E" w:rsidRDefault="006A229E" w:rsidP="006A229E">
      <w:pPr>
        <w:pStyle w:val="Proposal"/>
        <w:numPr>
          <w:ilvl w:val="0"/>
          <w:numId w:val="3"/>
        </w:numPr>
        <w:tabs>
          <w:tab w:val="clear" w:pos="5556"/>
        </w:tabs>
        <w:ind w:left="1701" w:hanging="1701"/>
      </w:pPr>
      <w:bookmarkStart w:id="2" w:name="_Toc189735424"/>
      <w:r>
        <w:t xml:space="preserve">Agree to add </w:t>
      </w:r>
      <w:r w:rsidR="004A17F5">
        <w:t xml:space="preserve">the </w:t>
      </w:r>
      <w:r>
        <w:t xml:space="preserve">configuration for </w:t>
      </w:r>
      <w:r w:rsidRPr="00846192">
        <w:rPr>
          <w:rFonts w:cs="Arial"/>
          <w:i/>
          <w:iCs/>
        </w:rPr>
        <w:t>TDD-UL-DL-</w:t>
      </w:r>
      <w:proofErr w:type="spellStart"/>
      <w:r w:rsidRPr="00846192">
        <w:rPr>
          <w:rFonts w:cs="Arial"/>
          <w:i/>
          <w:iCs/>
        </w:rPr>
        <w:t>ConfigCommon</w:t>
      </w:r>
      <w:proofErr w:type="spellEnd"/>
      <w:r>
        <w:rPr>
          <w:rFonts w:cs="Arial"/>
        </w:rPr>
        <w:t xml:space="preserve"> in IE </w:t>
      </w:r>
      <w:proofErr w:type="spellStart"/>
      <w:r w:rsidR="004A17F5" w:rsidRPr="004A17F5">
        <w:rPr>
          <w:lang w:eastAsia="en-US"/>
        </w:rPr>
        <w:t>ServingCellConfig</w:t>
      </w:r>
      <w:proofErr w:type="spellEnd"/>
      <w:r w:rsidR="004A17F5" w:rsidRPr="006A229E" w:rsidDel="004A17F5">
        <w:rPr>
          <w:rFonts w:cs="Arial"/>
        </w:rPr>
        <w:t xml:space="preserve"> </w:t>
      </w:r>
      <w:r w:rsidR="004A17F5">
        <w:rPr>
          <w:rFonts w:cs="Arial"/>
        </w:rPr>
        <w:t xml:space="preserve">by extending the IE </w:t>
      </w:r>
      <w:proofErr w:type="spellStart"/>
      <w:r w:rsidR="004A17F5">
        <w:rPr>
          <w:rFonts w:cs="Arial"/>
        </w:rPr>
        <w:t>MIMOParam</w:t>
      </w:r>
      <w:proofErr w:type="spellEnd"/>
      <w:r w:rsidR="004A17F5">
        <w:rPr>
          <w:rFonts w:cs="Arial"/>
        </w:rPr>
        <w:t>.</w:t>
      </w:r>
      <w:bookmarkEnd w:id="2"/>
    </w:p>
    <w:p w14:paraId="322F692C" w14:textId="77777777" w:rsidR="004A17F5" w:rsidRDefault="004A17F5" w:rsidP="00EB302F">
      <w:pPr>
        <w:rPr>
          <w:lang w:eastAsia="en-US"/>
        </w:rPr>
      </w:pPr>
    </w:p>
    <w:p w14:paraId="42CAD5C2" w14:textId="5CDE9C46" w:rsidR="004A17F5" w:rsidRDefault="004A17F5" w:rsidP="004A17F5">
      <w:r>
        <w:rPr>
          <w:lang w:eastAsia="en-US"/>
        </w:rPr>
        <w:t xml:space="preserve">Our proposal was to have a new to a </w:t>
      </w:r>
      <w:proofErr w:type="spellStart"/>
      <w:r>
        <w:rPr>
          <w:lang w:eastAsia="en-US"/>
        </w:rPr>
        <w:t>AddModList</w:t>
      </w:r>
      <w:proofErr w:type="spellEnd"/>
      <w:r>
        <w:rPr>
          <w:lang w:eastAsia="en-US"/>
        </w:rPr>
        <w:t xml:space="preserve"> </w:t>
      </w:r>
      <w:r>
        <w:t>additionalTDDConfig-perPCI-ToAddModList-r18. While there was also some other proposals</w:t>
      </w:r>
      <w:r w:rsidR="000610E8">
        <w:t xml:space="preserve"> </w:t>
      </w:r>
      <w:r>
        <w:t>this would still be our view.</w:t>
      </w:r>
      <w:r w:rsidR="00103EE5">
        <w:t xml:space="preserve"> In below, there is an attempt to accommodate some of the comments received during the email discussion:</w:t>
      </w:r>
    </w:p>
    <w:p w14:paraId="5384B40A" w14:textId="77777777" w:rsidR="00103EE5" w:rsidRDefault="00103EE5" w:rsidP="004A17F5"/>
    <w:p w14:paraId="4A47E8D1" w14:textId="77777777" w:rsidR="00103EE5" w:rsidRPr="00481F87" w:rsidRDefault="00103EE5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</w:p>
    <w:p w14:paraId="46C08430" w14:textId="77777777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  <w:r w:rsidRPr="00481F87">
        <w:rPr>
          <w:rFonts w:ascii="Courier New" w:hAnsi="Courier New" w:cs="Courier New"/>
          <w:color w:val="FF0000"/>
          <w:sz w:val="16"/>
          <w:szCs w:val="16"/>
        </w:rPr>
        <w:t>MIMOParam-v18xy ::= SEQUENCE {</w:t>
      </w:r>
    </w:p>
    <w:p w14:paraId="629BF5E9" w14:textId="1848CB3D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  <w:r w:rsidRPr="00481F87">
        <w:rPr>
          <w:rFonts w:ascii="Courier New" w:hAnsi="Courier New" w:cs="Courier New"/>
          <w:color w:val="FF0000"/>
          <w:sz w:val="16"/>
          <w:szCs w:val="16"/>
        </w:rPr>
        <w:t xml:space="preserve">    additionalTDDConfig-perPCI-ToAddModList-r18   SEQUENCE (SIZE (1.. maxNrofAdditionalTDDConfigs-r18)) OF  AdditionalTDDConfig-perPCI-ToAddMod</w:t>
      </w:r>
      <w:r w:rsidR="00F9218A">
        <w:rPr>
          <w:rFonts w:ascii="Courier New" w:hAnsi="Courier New" w:cs="Courier New"/>
          <w:color w:val="FF0000"/>
          <w:sz w:val="16"/>
          <w:szCs w:val="16"/>
        </w:rPr>
        <w:t>-r18</w:t>
      </w:r>
    </w:p>
    <w:p w14:paraId="1435C8A2" w14:textId="77777777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  <w:r w:rsidRPr="00481F87">
        <w:rPr>
          <w:rFonts w:ascii="Courier New" w:hAnsi="Courier New" w:cs="Courier New"/>
          <w:color w:val="FF0000"/>
          <w:sz w:val="16"/>
          <w:szCs w:val="16"/>
        </w:rPr>
        <w:t xml:space="preserve">                                                                                                             OPTIONAL, -- Cond 2TA-Only</w:t>
      </w:r>
    </w:p>
    <w:p w14:paraId="6E5EB249" w14:textId="77777777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  <w:r w:rsidRPr="00481F87">
        <w:rPr>
          <w:rFonts w:ascii="Courier New" w:hAnsi="Courier New" w:cs="Courier New"/>
          <w:color w:val="FF0000"/>
          <w:sz w:val="16"/>
          <w:szCs w:val="16"/>
        </w:rPr>
        <w:t xml:space="preserve">    additionalTDDConfig-perPCI-ToReleaseList-r18  SEQUENCE (SIZE (1.. maxNrofAdditionalTDDConfigs-r18)) OF AdditionalPCIIndex-r17                                  OPTIONAL  -- Need N</w:t>
      </w:r>
    </w:p>
    <w:p w14:paraId="41EA86A4" w14:textId="77777777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  <w:r w:rsidRPr="00481F87">
        <w:rPr>
          <w:rFonts w:ascii="Courier New" w:hAnsi="Courier New" w:cs="Courier New"/>
          <w:color w:val="FF0000"/>
          <w:sz w:val="16"/>
          <w:szCs w:val="16"/>
        </w:rPr>
        <w:t>}</w:t>
      </w:r>
    </w:p>
    <w:p w14:paraId="5D3C1F9D" w14:textId="77777777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</w:p>
    <w:p w14:paraId="6695A24C" w14:textId="77777777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  <w:r w:rsidRPr="00481F87">
        <w:rPr>
          <w:rFonts w:ascii="Courier New" w:hAnsi="Courier New" w:cs="Courier New"/>
          <w:color w:val="FF0000"/>
          <w:sz w:val="16"/>
          <w:szCs w:val="16"/>
        </w:rPr>
        <w:t>AdditionalTDDConfig-perPCI-ToAddMod-r18 ::=          SEQUENCE {</w:t>
      </w:r>
    </w:p>
    <w:p w14:paraId="15803CC4" w14:textId="77777777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  <w:r w:rsidRPr="00481F87">
        <w:rPr>
          <w:rFonts w:ascii="Courier New" w:hAnsi="Courier New" w:cs="Courier New"/>
          <w:color w:val="FF0000"/>
          <w:sz w:val="16"/>
          <w:szCs w:val="16"/>
        </w:rPr>
        <w:t xml:space="preserve">    additionalTDDConfig-Index-r18  AdditionalPCIIndex-r17,</w:t>
      </w:r>
    </w:p>
    <w:p w14:paraId="73A7E80B" w14:textId="77777777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  <w:r w:rsidRPr="00481F87">
        <w:rPr>
          <w:rFonts w:ascii="Courier New" w:hAnsi="Courier New" w:cs="Courier New"/>
          <w:color w:val="FF0000"/>
          <w:sz w:val="16"/>
          <w:szCs w:val="16"/>
        </w:rPr>
        <w:t xml:space="preserve">    tdd-UL-DL-ConfigurationCommon-r18       TDD-UL-DL-</w:t>
      </w:r>
      <w:proofErr w:type="spellStart"/>
      <w:r w:rsidRPr="00481F87">
        <w:rPr>
          <w:rFonts w:ascii="Courier New" w:hAnsi="Courier New" w:cs="Courier New"/>
          <w:color w:val="FF0000"/>
          <w:sz w:val="16"/>
          <w:szCs w:val="16"/>
        </w:rPr>
        <w:t>ConfigCommon</w:t>
      </w:r>
      <w:proofErr w:type="spellEnd"/>
      <w:r w:rsidRPr="00481F87">
        <w:rPr>
          <w:rFonts w:ascii="Courier New" w:hAnsi="Courier New" w:cs="Courier New"/>
          <w:color w:val="FF0000"/>
          <w:sz w:val="16"/>
          <w:szCs w:val="16"/>
        </w:rPr>
        <w:t xml:space="preserve">                                              OPTIONAL -- Cond TDD</w:t>
      </w:r>
    </w:p>
    <w:p w14:paraId="0B7DDAB8" w14:textId="77777777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</w:p>
    <w:p w14:paraId="2248625E" w14:textId="763C8DE5" w:rsidR="004A17F5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  <w:r w:rsidRPr="00481F87">
        <w:rPr>
          <w:rFonts w:ascii="Courier New" w:hAnsi="Courier New" w:cs="Courier New"/>
          <w:color w:val="FF0000"/>
          <w:sz w:val="16"/>
          <w:szCs w:val="16"/>
        </w:rPr>
        <w:t>}</w:t>
      </w:r>
    </w:p>
    <w:p w14:paraId="30DAA5B2" w14:textId="77777777" w:rsid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</w:p>
    <w:p w14:paraId="70C5A613" w14:textId="77777777" w:rsidR="00481F87" w:rsidRPr="00481F87" w:rsidRDefault="00481F87" w:rsidP="00481F87">
      <w:pPr>
        <w:pStyle w:val="pl0"/>
        <w:shd w:val="clear" w:color="auto" w:fill="EEECE1"/>
        <w:rPr>
          <w:rFonts w:ascii="Courier New" w:hAnsi="Courier New" w:cs="Courier New"/>
          <w:color w:val="FF0000"/>
          <w:sz w:val="16"/>
          <w:szCs w:val="16"/>
        </w:rPr>
      </w:pPr>
    </w:p>
    <w:p w14:paraId="4DF270A9" w14:textId="162187A4" w:rsidR="004A17F5" w:rsidRDefault="004A17F5" w:rsidP="004A17F5">
      <w:pPr>
        <w:pStyle w:val="Proposal"/>
        <w:numPr>
          <w:ilvl w:val="0"/>
          <w:numId w:val="3"/>
        </w:numPr>
        <w:tabs>
          <w:tab w:val="clear" w:pos="5556"/>
        </w:tabs>
        <w:ind w:left="1701" w:hanging="1701"/>
      </w:pPr>
      <w:bookmarkStart w:id="3" w:name="_Toc189735425"/>
      <w:r>
        <w:t xml:space="preserve">Agree to use a </w:t>
      </w:r>
      <w:r>
        <w:rPr>
          <w:lang w:eastAsia="en-US"/>
        </w:rPr>
        <w:t xml:space="preserve">new </w:t>
      </w:r>
      <w:proofErr w:type="spellStart"/>
      <w:r>
        <w:rPr>
          <w:lang w:eastAsia="en-US"/>
        </w:rPr>
        <w:t>AddModList</w:t>
      </w:r>
      <w:proofErr w:type="spellEnd"/>
      <w:r>
        <w:rPr>
          <w:lang w:eastAsia="en-US"/>
        </w:rPr>
        <w:t xml:space="preserve"> </w:t>
      </w:r>
      <w:r>
        <w:t xml:space="preserve">additionalTDDConfig-perPCI-ToAddModList-r18 for the configuration for </w:t>
      </w:r>
      <w:r w:rsidRPr="00846192">
        <w:rPr>
          <w:rFonts w:cs="Arial"/>
          <w:i/>
          <w:iCs/>
        </w:rPr>
        <w:t>TDD-UL-DL-</w:t>
      </w:r>
      <w:proofErr w:type="spellStart"/>
      <w:r w:rsidRPr="00846192">
        <w:rPr>
          <w:rFonts w:cs="Arial"/>
          <w:i/>
          <w:iCs/>
        </w:rPr>
        <w:t>ConfigCommon</w:t>
      </w:r>
      <w:proofErr w:type="spellEnd"/>
      <w:r>
        <w:rPr>
          <w:rFonts w:cs="Arial"/>
        </w:rPr>
        <w:t>.</w:t>
      </w:r>
      <w:bookmarkEnd w:id="3"/>
    </w:p>
    <w:p w14:paraId="428DF010" w14:textId="77777777" w:rsidR="004A17F5" w:rsidRDefault="004A17F5" w:rsidP="004A17F5"/>
    <w:p w14:paraId="762DA1FB" w14:textId="28F36DA6" w:rsidR="004A17F5" w:rsidRDefault="004A17F5" w:rsidP="004A17F5">
      <w:pPr>
        <w:rPr>
          <w:lang w:eastAsia="en-US"/>
        </w:rPr>
      </w:pPr>
      <w:r>
        <w:rPr>
          <w:lang w:eastAsia="en-US"/>
        </w:rPr>
        <w:t xml:space="preserve">The details how to implement </w:t>
      </w:r>
      <w:r w:rsidR="00103EE5">
        <w:rPr>
          <w:lang w:eastAsia="en-US"/>
        </w:rPr>
        <w:t xml:space="preserve">the field descriptions and </w:t>
      </w:r>
      <w:proofErr w:type="spellStart"/>
      <w:r w:rsidR="00103EE5">
        <w:rPr>
          <w:lang w:eastAsia="en-US"/>
        </w:rPr>
        <w:t>cond</w:t>
      </w:r>
      <w:proofErr w:type="spellEnd"/>
      <w:r w:rsidR="00103EE5">
        <w:rPr>
          <w:lang w:eastAsia="en-US"/>
        </w:rPr>
        <w:t xml:space="preserve"> descriptions would depend on the outcome of the discussion related to Proposal1.</w:t>
      </w:r>
      <w:r w:rsidR="00F9218A">
        <w:rPr>
          <w:lang w:eastAsia="en-US"/>
        </w:rPr>
        <w:t xml:space="preserve"> We have a suggestion as baseline in</w:t>
      </w:r>
      <w:r w:rsidR="00466746">
        <w:rPr>
          <w:lang w:eastAsia="en-US"/>
        </w:rPr>
        <w:fldChar w:fldCharType="begin"/>
      </w:r>
      <w:r w:rsidR="00466746">
        <w:rPr>
          <w:lang w:eastAsia="en-US"/>
        </w:rPr>
        <w:instrText xml:space="preserve"> REF _Ref189735489 \r \h </w:instrText>
      </w:r>
      <w:r w:rsidR="00466746">
        <w:rPr>
          <w:lang w:eastAsia="en-US"/>
        </w:rPr>
      </w:r>
      <w:r w:rsidR="00466746">
        <w:rPr>
          <w:lang w:eastAsia="en-US"/>
        </w:rPr>
        <w:fldChar w:fldCharType="separate"/>
      </w:r>
      <w:r w:rsidR="00466746">
        <w:rPr>
          <w:lang w:eastAsia="en-US"/>
        </w:rPr>
        <w:t>[3]</w:t>
      </w:r>
      <w:r w:rsidR="00466746">
        <w:rPr>
          <w:lang w:eastAsia="en-US"/>
        </w:rPr>
        <w:fldChar w:fldCharType="end"/>
      </w:r>
      <w:r w:rsidR="00F9218A">
        <w:rPr>
          <w:lang w:eastAsia="en-US"/>
        </w:rPr>
        <w:t xml:space="preserve">. As in above, the CR implements the 2TA-Only condition inside the mimoParam-r18 but it could as well be the condition to configuring </w:t>
      </w:r>
      <w:proofErr w:type="spellStart"/>
      <w:r w:rsidR="00F9218A">
        <w:rPr>
          <w:lang w:eastAsia="en-US"/>
        </w:rPr>
        <w:lastRenderedPageBreak/>
        <w:t>mimoParam</w:t>
      </w:r>
      <w:proofErr w:type="spellEnd"/>
      <w:r w:rsidR="00F9218A">
        <w:rPr>
          <w:lang w:eastAsia="en-US"/>
        </w:rPr>
        <w:t xml:space="preserve">. The CR, as above also implements the TDD config for each additional PCI in the element </w:t>
      </w:r>
      <w:r w:rsidR="00F9218A" w:rsidRPr="00F9218A">
        <w:rPr>
          <w:lang w:eastAsia="en-US"/>
        </w:rPr>
        <w:t>AdditionalTDDConfig-perPCI-ToAddMod-r18</w:t>
      </w:r>
      <w:r w:rsidR="00F9218A">
        <w:rPr>
          <w:lang w:eastAsia="en-US"/>
        </w:rPr>
        <w:t xml:space="preserve">. If RAN2 concludes that the configuration is given to all </w:t>
      </w:r>
      <w:proofErr w:type="spellStart"/>
      <w:r w:rsidR="00F9218A">
        <w:rPr>
          <w:lang w:eastAsia="en-US"/>
        </w:rPr>
        <w:t>additionalPCIs</w:t>
      </w:r>
      <w:proofErr w:type="spellEnd"/>
      <w:r w:rsidR="00F9218A">
        <w:rPr>
          <w:lang w:eastAsia="en-US"/>
        </w:rPr>
        <w:t>, then there could only be one condition covering both 2TA-Only and TDD.</w:t>
      </w:r>
    </w:p>
    <w:p w14:paraId="531C26F8" w14:textId="77777777" w:rsidR="000610E8" w:rsidRPr="002E1E2E" w:rsidRDefault="000610E8" w:rsidP="000610E8">
      <w:pPr>
        <w:pStyle w:val="Proposal"/>
        <w:ind w:left="1701"/>
        <w:rPr>
          <w:sz w:val="22"/>
          <w:szCs w:val="22"/>
        </w:rPr>
      </w:pPr>
    </w:p>
    <w:p w14:paraId="7A0FE569" w14:textId="1B53D18F" w:rsidR="000610E8" w:rsidRDefault="000610E8" w:rsidP="000610E8">
      <w:pPr>
        <w:pStyle w:val="Proposal"/>
        <w:numPr>
          <w:ilvl w:val="0"/>
          <w:numId w:val="3"/>
        </w:numPr>
        <w:tabs>
          <w:tab w:val="clear" w:pos="5556"/>
        </w:tabs>
        <w:ind w:left="1701" w:hanging="1701"/>
      </w:pPr>
      <w:bookmarkStart w:id="4" w:name="_Toc189735426"/>
      <w:r>
        <w:t xml:space="preserve">Agree CR in </w:t>
      </w:r>
      <w:r w:rsidR="00466746" w:rsidRPr="00466746">
        <w:t>R2-2500710</w:t>
      </w:r>
      <w:r>
        <w:t xml:space="preserve"> as baseline for the discussion</w:t>
      </w:r>
      <w:r>
        <w:rPr>
          <w:rFonts w:cs="Arial"/>
        </w:rPr>
        <w:t>.</w:t>
      </w:r>
      <w:bookmarkEnd w:id="4"/>
    </w:p>
    <w:p w14:paraId="4EE0EDDF" w14:textId="77777777" w:rsidR="000610E8" w:rsidRDefault="000610E8" w:rsidP="000610E8"/>
    <w:p w14:paraId="24596042" w14:textId="77777777" w:rsidR="004A17F5" w:rsidRDefault="004A17F5" w:rsidP="00EB302F">
      <w:pPr>
        <w:rPr>
          <w:lang w:eastAsia="en-US"/>
        </w:rPr>
      </w:pPr>
    </w:p>
    <w:p w14:paraId="0199E26E" w14:textId="77777777" w:rsidR="005D2442" w:rsidRPr="00DC680A" w:rsidRDefault="005D2442" w:rsidP="007E7014">
      <w:pPr>
        <w:pStyle w:val="Proposal"/>
        <w:rPr>
          <w:highlight w:val="yellow"/>
        </w:rPr>
      </w:pPr>
      <w:bookmarkStart w:id="5" w:name="_Toc149739320"/>
      <w:bookmarkEnd w:id="5"/>
    </w:p>
    <w:p w14:paraId="365AF68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E0D7AED" w14:textId="77777777" w:rsidR="00615114" w:rsidRPr="003A6D33" w:rsidRDefault="00615114" w:rsidP="00615114">
      <w:pPr>
        <w:pStyle w:val="BodyText"/>
      </w:pPr>
      <w:bookmarkStart w:id="6" w:name="_In-sequence_SDU_delivery"/>
      <w:bookmarkEnd w:id="6"/>
      <w:r w:rsidRPr="003A6D33">
        <w:t>Based on the discussion in the previous sections we propose the following:</w:t>
      </w:r>
    </w:p>
    <w:p w14:paraId="733F7823" w14:textId="53775AFF" w:rsidR="00466746" w:rsidRDefault="00615114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r w:rsidRPr="003A6D33">
        <w:rPr>
          <w:b w:val="0"/>
          <w:bCs/>
        </w:rPr>
        <w:fldChar w:fldCharType="begin"/>
      </w:r>
      <w:r w:rsidRPr="003A6D33">
        <w:rPr>
          <w:b w:val="0"/>
          <w:bCs/>
        </w:rPr>
        <w:instrText xml:space="preserve"> TOC \n \h \z \t "Proposal" \c </w:instrText>
      </w:r>
      <w:r w:rsidRPr="003A6D33">
        <w:rPr>
          <w:b w:val="0"/>
          <w:bCs/>
        </w:rPr>
        <w:fldChar w:fldCharType="separate"/>
      </w:r>
      <w:hyperlink w:anchor="_Toc189735423" w:history="1">
        <w:r w:rsidR="00466746" w:rsidRPr="00BB66F8">
          <w:rPr>
            <w:rStyle w:val="Hyperlink"/>
            <w:noProof/>
          </w:rPr>
          <w:t>Proposal 1</w:t>
        </w:r>
        <w:r w:rsidR="0046674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="00466746" w:rsidRPr="00BB66F8">
          <w:rPr>
            <w:rStyle w:val="Hyperlink"/>
            <w:noProof/>
          </w:rPr>
          <w:t xml:space="preserve">Agree to add configuration for </w:t>
        </w:r>
        <w:r w:rsidR="00466746" w:rsidRPr="00BB66F8">
          <w:rPr>
            <w:rStyle w:val="Hyperlink"/>
            <w:rFonts w:cs="Arial"/>
            <w:i/>
            <w:iCs/>
            <w:noProof/>
          </w:rPr>
          <w:t>TDD-UL-DL-ConfigCommon</w:t>
        </w:r>
        <w:r w:rsidR="00466746" w:rsidRPr="00BB66F8">
          <w:rPr>
            <w:rStyle w:val="Hyperlink"/>
            <w:rFonts w:cs="Arial"/>
            <w:noProof/>
          </w:rPr>
          <w:t xml:space="preserve"> for each additionalPCI</w:t>
        </w:r>
        <w:r w:rsidR="00466746" w:rsidRPr="00BB66F8">
          <w:rPr>
            <w:rStyle w:val="Hyperlink"/>
            <w:noProof/>
          </w:rPr>
          <w:t>.</w:t>
        </w:r>
      </w:hyperlink>
    </w:p>
    <w:p w14:paraId="64F0C588" w14:textId="5C8FBB5D" w:rsidR="00466746" w:rsidRDefault="00466746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89735424" w:history="1">
        <w:r w:rsidRPr="00BB66F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BB66F8">
          <w:rPr>
            <w:rStyle w:val="Hyperlink"/>
            <w:noProof/>
          </w:rPr>
          <w:t xml:space="preserve">Agree to add the configuration for </w:t>
        </w:r>
        <w:r w:rsidRPr="00BB66F8">
          <w:rPr>
            <w:rStyle w:val="Hyperlink"/>
            <w:rFonts w:cs="Arial"/>
            <w:i/>
            <w:iCs/>
            <w:noProof/>
          </w:rPr>
          <w:t>TDD-UL-DL-ConfigCommon</w:t>
        </w:r>
        <w:r w:rsidRPr="00BB66F8">
          <w:rPr>
            <w:rStyle w:val="Hyperlink"/>
            <w:rFonts w:cs="Arial"/>
            <w:noProof/>
          </w:rPr>
          <w:t xml:space="preserve"> in IE </w:t>
        </w:r>
        <w:r w:rsidRPr="00BB66F8">
          <w:rPr>
            <w:rStyle w:val="Hyperlink"/>
            <w:noProof/>
            <w:lang w:eastAsia="en-US"/>
          </w:rPr>
          <w:t>ServingCellConfig</w:t>
        </w:r>
        <w:r w:rsidRPr="00BB66F8">
          <w:rPr>
            <w:rStyle w:val="Hyperlink"/>
            <w:rFonts w:cs="Arial"/>
            <w:noProof/>
          </w:rPr>
          <w:t xml:space="preserve"> by extending the IE MIMOParam.</w:t>
        </w:r>
      </w:hyperlink>
    </w:p>
    <w:p w14:paraId="03D6E520" w14:textId="3D427C6D" w:rsidR="00466746" w:rsidRDefault="00466746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89735425" w:history="1">
        <w:r w:rsidRPr="00BB66F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BB66F8">
          <w:rPr>
            <w:rStyle w:val="Hyperlink"/>
            <w:noProof/>
          </w:rPr>
          <w:t xml:space="preserve">Agree to use a </w:t>
        </w:r>
        <w:r w:rsidRPr="00BB66F8">
          <w:rPr>
            <w:rStyle w:val="Hyperlink"/>
            <w:noProof/>
            <w:lang w:eastAsia="en-US"/>
          </w:rPr>
          <w:t xml:space="preserve">new AddModList </w:t>
        </w:r>
        <w:r w:rsidRPr="00BB66F8">
          <w:rPr>
            <w:rStyle w:val="Hyperlink"/>
            <w:noProof/>
          </w:rPr>
          <w:t xml:space="preserve">additionalTDDConfig-perPCI-ToAddModList-r18 for the configuration for </w:t>
        </w:r>
        <w:r w:rsidRPr="00BB66F8">
          <w:rPr>
            <w:rStyle w:val="Hyperlink"/>
            <w:rFonts w:cs="Arial"/>
            <w:i/>
            <w:iCs/>
            <w:noProof/>
          </w:rPr>
          <w:t>TDD-UL-DL-ConfigCommon</w:t>
        </w:r>
        <w:r w:rsidRPr="00BB66F8">
          <w:rPr>
            <w:rStyle w:val="Hyperlink"/>
            <w:rFonts w:cs="Arial"/>
            <w:noProof/>
          </w:rPr>
          <w:t>.</w:t>
        </w:r>
      </w:hyperlink>
    </w:p>
    <w:p w14:paraId="6620B39F" w14:textId="7BAAB248" w:rsidR="00466746" w:rsidRDefault="00466746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FI" w:eastAsia="en-FI"/>
          <w14:ligatures w14:val="standardContextual"/>
        </w:rPr>
      </w:pPr>
      <w:hyperlink w:anchor="_Toc189735426" w:history="1">
        <w:r w:rsidRPr="00BB66F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FI" w:eastAsia="en-FI"/>
            <w14:ligatures w14:val="standardContextual"/>
          </w:rPr>
          <w:tab/>
        </w:r>
        <w:r w:rsidRPr="00BB66F8">
          <w:rPr>
            <w:rStyle w:val="Hyperlink"/>
            <w:noProof/>
          </w:rPr>
          <w:t>Agree CR in R2-2500710 as baseline for the discussion</w:t>
        </w:r>
        <w:r w:rsidRPr="00BB66F8">
          <w:rPr>
            <w:rStyle w:val="Hyperlink"/>
            <w:rFonts w:cs="Arial"/>
            <w:noProof/>
          </w:rPr>
          <w:t>.</w:t>
        </w:r>
      </w:hyperlink>
    </w:p>
    <w:p w14:paraId="1539C832" w14:textId="0F97C10B" w:rsidR="000F1B75" w:rsidRPr="002E1E2E" w:rsidRDefault="00615114" w:rsidP="000F1B75">
      <w:pPr>
        <w:rPr>
          <w:sz w:val="22"/>
          <w:szCs w:val="22"/>
        </w:rPr>
      </w:pPr>
      <w:r w:rsidRPr="003A6D33">
        <w:rPr>
          <w:b/>
          <w:bCs/>
        </w:rPr>
        <w:fldChar w:fldCharType="end"/>
      </w:r>
    </w:p>
    <w:p w14:paraId="64C1D3CB" w14:textId="77777777" w:rsidR="000F1B75" w:rsidRPr="002E1E2E" w:rsidRDefault="000F1B75" w:rsidP="000F1B75">
      <w:pPr>
        <w:pStyle w:val="Heading1"/>
        <w:rPr>
          <w:sz w:val="22"/>
          <w:szCs w:val="22"/>
        </w:rPr>
      </w:pPr>
      <w:r w:rsidRPr="002E1E2E">
        <w:rPr>
          <w:sz w:val="22"/>
          <w:szCs w:val="22"/>
        </w:rPr>
        <w:t>References</w:t>
      </w:r>
    </w:p>
    <w:p w14:paraId="7AE70456" w14:textId="62CA021C" w:rsidR="000F1B75" w:rsidRDefault="00627387" w:rsidP="000F1B75">
      <w:pPr>
        <w:pStyle w:val="Reference"/>
        <w:rPr>
          <w:sz w:val="22"/>
          <w:szCs w:val="22"/>
        </w:rPr>
      </w:pPr>
      <w:bookmarkStart w:id="7" w:name="_Ref181786588"/>
      <w:bookmarkStart w:id="8" w:name="_Ref61455800"/>
      <w:r w:rsidRPr="00627387">
        <w:rPr>
          <w:sz w:val="22"/>
          <w:szCs w:val="22"/>
        </w:rPr>
        <w:t>R1-2409179</w:t>
      </w:r>
      <w:r w:rsidR="000F1B75" w:rsidRPr="00C02375">
        <w:rPr>
          <w:sz w:val="22"/>
          <w:szCs w:val="22"/>
        </w:rPr>
        <w:t xml:space="preserve">, </w:t>
      </w:r>
      <w:r w:rsidR="00B43E74" w:rsidRPr="00B43E74">
        <w:rPr>
          <w:sz w:val="22"/>
        </w:rPr>
        <w:t>LS on TDD UL/DL Configuration for Two TA</w:t>
      </w:r>
      <w:r w:rsidR="000F1B75">
        <w:rPr>
          <w:sz w:val="22"/>
        </w:rPr>
        <w:t xml:space="preserve">, </w:t>
      </w:r>
      <w:r w:rsidR="00B43E74">
        <w:rPr>
          <w:sz w:val="22"/>
        </w:rPr>
        <w:t>RAN1(</w:t>
      </w:r>
      <w:r w:rsidR="000F1B75">
        <w:rPr>
          <w:sz w:val="22"/>
        </w:rPr>
        <w:t>Ericsson</w:t>
      </w:r>
      <w:r w:rsidR="00B43E74">
        <w:rPr>
          <w:sz w:val="22"/>
        </w:rPr>
        <w:t>)</w:t>
      </w:r>
      <w:r w:rsidR="000F1B75" w:rsidRPr="00C02375">
        <w:rPr>
          <w:sz w:val="22"/>
          <w:szCs w:val="22"/>
        </w:rPr>
        <w:t>.</w:t>
      </w:r>
      <w:bookmarkEnd w:id="7"/>
    </w:p>
    <w:p w14:paraId="6506D773" w14:textId="6902B208" w:rsidR="00E62067" w:rsidRDefault="00D92BE1" w:rsidP="000F1B75">
      <w:pPr>
        <w:pStyle w:val="Reference"/>
        <w:rPr>
          <w:sz w:val="22"/>
          <w:szCs w:val="22"/>
        </w:rPr>
      </w:pPr>
      <w:bookmarkStart w:id="9" w:name="_Ref181786577"/>
      <w:r w:rsidRPr="00D92BE1">
        <w:rPr>
          <w:sz w:val="22"/>
          <w:szCs w:val="22"/>
        </w:rPr>
        <w:t>R1-2407447</w:t>
      </w:r>
      <w:r>
        <w:rPr>
          <w:sz w:val="22"/>
          <w:szCs w:val="22"/>
        </w:rPr>
        <w:t xml:space="preserve">, </w:t>
      </w:r>
      <w:r w:rsidR="00E62067" w:rsidRPr="00E62067">
        <w:rPr>
          <w:sz w:val="22"/>
          <w:szCs w:val="22"/>
        </w:rPr>
        <w:t>LS on missing RRC parameters for early UL sync PRACH transmission for LTM</w:t>
      </w:r>
      <w:bookmarkEnd w:id="9"/>
    </w:p>
    <w:p w14:paraId="16A52F15" w14:textId="3578CB07" w:rsidR="00F9218A" w:rsidRPr="00C02375" w:rsidRDefault="00466746" w:rsidP="000F1B75">
      <w:pPr>
        <w:pStyle w:val="Reference"/>
        <w:rPr>
          <w:sz w:val="22"/>
          <w:szCs w:val="22"/>
        </w:rPr>
      </w:pPr>
      <w:bookmarkStart w:id="10" w:name="_Ref189735489"/>
      <w:r w:rsidRPr="00466746">
        <w:rPr>
          <w:sz w:val="22"/>
          <w:szCs w:val="22"/>
        </w:rPr>
        <w:t>R2-2500710</w:t>
      </w:r>
      <w:r w:rsidR="00F9218A">
        <w:rPr>
          <w:sz w:val="22"/>
          <w:szCs w:val="22"/>
        </w:rPr>
        <w:t>,</w:t>
      </w:r>
      <w:r w:rsidRPr="00466746">
        <w:t xml:space="preserve"> </w:t>
      </w:r>
      <w:r w:rsidRPr="00466746">
        <w:rPr>
          <w:sz w:val="22"/>
          <w:szCs w:val="22"/>
        </w:rPr>
        <w:t>Correction on TDD UL/DL Configuration for Two TA</w:t>
      </w:r>
      <w:r>
        <w:rPr>
          <w:sz w:val="22"/>
          <w:szCs w:val="22"/>
        </w:rPr>
        <w:t>, Ericsson, RAN2#129, February 2025, Athens</w:t>
      </w:r>
      <w:bookmarkEnd w:id="10"/>
      <w:r>
        <w:rPr>
          <w:sz w:val="22"/>
          <w:szCs w:val="22"/>
        </w:rPr>
        <w:t xml:space="preserve"> </w:t>
      </w:r>
      <w:r w:rsidR="00F9218A">
        <w:rPr>
          <w:sz w:val="22"/>
          <w:szCs w:val="22"/>
        </w:rPr>
        <w:t xml:space="preserve"> </w:t>
      </w:r>
    </w:p>
    <w:bookmarkEnd w:id="8"/>
    <w:p w14:paraId="0B9E3F2C" w14:textId="77777777" w:rsidR="000F1B75" w:rsidRDefault="000F1B75" w:rsidP="000F1B75">
      <w:pPr>
        <w:pStyle w:val="Reference"/>
        <w:numPr>
          <w:ilvl w:val="0"/>
          <w:numId w:val="0"/>
        </w:numPr>
        <w:ind w:left="567"/>
      </w:pPr>
    </w:p>
    <w:p w14:paraId="6B5584BA" w14:textId="42A93AAD" w:rsidR="00CC7967" w:rsidRPr="00CE0424" w:rsidRDefault="00CC7967" w:rsidP="000F1B75">
      <w:pPr>
        <w:pStyle w:val="Heading1"/>
        <w:numPr>
          <w:ilvl w:val="0"/>
          <w:numId w:val="0"/>
        </w:numPr>
        <w:jc w:val="both"/>
      </w:pPr>
    </w:p>
    <w:sectPr w:rsidR="00CC7967" w:rsidRPr="00CE0424" w:rsidSect="00930185">
      <w:headerReference w:type="even" r:id="rId12"/>
      <w:foot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D7879" w14:textId="77777777" w:rsidR="0032433B" w:rsidRDefault="0032433B">
      <w:r>
        <w:separator/>
      </w:r>
    </w:p>
  </w:endnote>
  <w:endnote w:type="continuationSeparator" w:id="0">
    <w:p w14:paraId="0AA979EA" w14:textId="77777777" w:rsidR="0032433B" w:rsidRDefault="0032433B">
      <w:r>
        <w:continuationSeparator/>
      </w:r>
    </w:p>
  </w:endnote>
  <w:endnote w:type="continuationNotice" w:id="1">
    <w:p w14:paraId="5A29D6DC" w14:textId="77777777" w:rsidR="0032433B" w:rsidRDefault="003243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D53B2" w14:textId="77777777" w:rsidR="0032433B" w:rsidRDefault="0032433B">
      <w:r>
        <w:separator/>
      </w:r>
    </w:p>
  </w:footnote>
  <w:footnote w:type="continuationSeparator" w:id="0">
    <w:p w14:paraId="6860D3E9" w14:textId="77777777" w:rsidR="0032433B" w:rsidRDefault="0032433B">
      <w:r>
        <w:continuationSeparator/>
      </w:r>
    </w:p>
  </w:footnote>
  <w:footnote w:type="continuationNotice" w:id="1">
    <w:p w14:paraId="723584FF" w14:textId="77777777" w:rsidR="0032433B" w:rsidRDefault="003243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4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0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2"/>
  </w:num>
  <w:num w:numId="2" w16cid:durableId="2007173614">
    <w:abstractNumId w:val="20"/>
  </w:num>
  <w:num w:numId="3" w16cid:durableId="364183904">
    <w:abstractNumId w:val="12"/>
  </w:num>
  <w:num w:numId="4" w16cid:durableId="1666976476">
    <w:abstractNumId w:val="14"/>
  </w:num>
  <w:num w:numId="5" w16cid:durableId="1407999183">
    <w:abstractNumId w:val="8"/>
  </w:num>
  <w:num w:numId="6" w16cid:durableId="965812426">
    <w:abstractNumId w:val="17"/>
  </w:num>
  <w:num w:numId="7" w16cid:durableId="312027794">
    <w:abstractNumId w:val="23"/>
  </w:num>
  <w:num w:numId="8" w16cid:durableId="1384477142">
    <w:abstractNumId w:val="9"/>
  </w:num>
  <w:num w:numId="9" w16cid:durableId="1556159113">
    <w:abstractNumId w:val="21"/>
  </w:num>
  <w:num w:numId="10" w16cid:durableId="708649350">
    <w:abstractNumId w:val="27"/>
  </w:num>
  <w:num w:numId="11" w16cid:durableId="505361976">
    <w:abstractNumId w:val="22"/>
  </w:num>
  <w:num w:numId="12" w16cid:durableId="1747612304">
    <w:abstractNumId w:val="33"/>
  </w:num>
  <w:num w:numId="13" w16cid:durableId="370492790">
    <w:abstractNumId w:val="29"/>
  </w:num>
  <w:num w:numId="14" w16cid:durableId="1033728520">
    <w:abstractNumId w:val="3"/>
  </w:num>
  <w:num w:numId="15" w16cid:durableId="140268876">
    <w:abstractNumId w:val="24"/>
  </w:num>
  <w:num w:numId="16" w16cid:durableId="785926230">
    <w:abstractNumId w:val="4"/>
  </w:num>
  <w:num w:numId="17" w16cid:durableId="132337125">
    <w:abstractNumId w:val="11"/>
  </w:num>
  <w:num w:numId="18" w16cid:durableId="1168786871">
    <w:abstractNumId w:val="21"/>
  </w:num>
  <w:num w:numId="19" w16cid:durableId="1385174953">
    <w:abstractNumId w:val="21"/>
  </w:num>
  <w:num w:numId="20" w16cid:durableId="2441035">
    <w:abstractNumId w:val="16"/>
  </w:num>
  <w:num w:numId="21" w16cid:durableId="1659647307">
    <w:abstractNumId w:val="15"/>
  </w:num>
  <w:num w:numId="22" w16cid:durableId="9155511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6"/>
  </w:num>
  <w:num w:numId="24" w16cid:durableId="1026366195">
    <w:abstractNumId w:val="26"/>
  </w:num>
  <w:num w:numId="25" w16cid:durableId="1279990922">
    <w:abstractNumId w:val="32"/>
  </w:num>
  <w:num w:numId="26" w16cid:durableId="1408844212">
    <w:abstractNumId w:val="21"/>
  </w:num>
  <w:num w:numId="27" w16cid:durableId="600993536">
    <w:abstractNumId w:val="18"/>
  </w:num>
  <w:num w:numId="28" w16cid:durableId="1772234921">
    <w:abstractNumId w:val="2"/>
  </w:num>
  <w:num w:numId="29" w16cid:durableId="769548450">
    <w:abstractNumId w:val="5"/>
  </w:num>
  <w:num w:numId="30" w16cid:durableId="3498433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3"/>
  </w:num>
  <w:num w:numId="32" w16cid:durableId="853878534">
    <w:abstractNumId w:val="20"/>
  </w:num>
  <w:num w:numId="33" w16cid:durableId="910580763">
    <w:abstractNumId w:val="19"/>
  </w:num>
  <w:num w:numId="34" w16cid:durableId="1688481240">
    <w:abstractNumId w:val="31"/>
  </w:num>
  <w:num w:numId="35" w16cid:durableId="1755324549">
    <w:abstractNumId w:val="20"/>
  </w:num>
  <w:num w:numId="36" w16cid:durableId="483163623">
    <w:abstractNumId w:val="20"/>
  </w:num>
  <w:num w:numId="37" w16cid:durableId="1291328498">
    <w:abstractNumId w:val="7"/>
  </w:num>
  <w:num w:numId="38" w16cid:durableId="273296018">
    <w:abstractNumId w:val="1"/>
  </w:num>
  <w:num w:numId="39" w16cid:durableId="2039575152">
    <w:abstractNumId w:val="30"/>
  </w:num>
  <w:num w:numId="40" w16cid:durableId="639500577">
    <w:abstractNumId w:val="0"/>
  </w:num>
  <w:num w:numId="41" w16cid:durableId="1012992948">
    <w:abstractNumId w:val="28"/>
  </w:num>
  <w:num w:numId="42" w16cid:durableId="547453427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0E8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1557"/>
    <w:rsid w:val="0009217C"/>
    <w:rsid w:val="000924C1"/>
    <w:rsid w:val="000924F0"/>
    <w:rsid w:val="000927BC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E8A"/>
    <w:rsid w:val="00097795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32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382"/>
    <w:rsid w:val="000B7486"/>
    <w:rsid w:val="000B7BD1"/>
    <w:rsid w:val="000B7C4C"/>
    <w:rsid w:val="000C024A"/>
    <w:rsid w:val="000C0D23"/>
    <w:rsid w:val="000C0FD9"/>
    <w:rsid w:val="000C100B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313"/>
    <w:rsid w:val="00103EE5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676"/>
    <w:rsid w:val="00145684"/>
    <w:rsid w:val="00145C54"/>
    <w:rsid w:val="00145C57"/>
    <w:rsid w:val="00146746"/>
    <w:rsid w:val="00146EF9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5FB1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909"/>
    <w:rsid w:val="0022194A"/>
    <w:rsid w:val="00221C13"/>
    <w:rsid w:val="002224DB"/>
    <w:rsid w:val="00223193"/>
    <w:rsid w:val="00223FCB"/>
    <w:rsid w:val="00224328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937"/>
    <w:rsid w:val="00272B63"/>
    <w:rsid w:val="00272D45"/>
    <w:rsid w:val="00273008"/>
    <w:rsid w:val="00273278"/>
    <w:rsid w:val="00273503"/>
    <w:rsid w:val="002737F4"/>
    <w:rsid w:val="00273D01"/>
    <w:rsid w:val="0027487C"/>
    <w:rsid w:val="00275C16"/>
    <w:rsid w:val="00275E06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EB2"/>
    <w:rsid w:val="002C112F"/>
    <w:rsid w:val="002C1E0A"/>
    <w:rsid w:val="002C21E6"/>
    <w:rsid w:val="002C24A6"/>
    <w:rsid w:val="002C264A"/>
    <w:rsid w:val="002C2D4C"/>
    <w:rsid w:val="002C31AC"/>
    <w:rsid w:val="002C3629"/>
    <w:rsid w:val="002C3713"/>
    <w:rsid w:val="002C4097"/>
    <w:rsid w:val="002C41E6"/>
    <w:rsid w:val="002C43D4"/>
    <w:rsid w:val="002C4B7B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746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1F87"/>
    <w:rsid w:val="004825DF"/>
    <w:rsid w:val="00483459"/>
    <w:rsid w:val="00483D15"/>
    <w:rsid w:val="00483F1B"/>
    <w:rsid w:val="004846E7"/>
    <w:rsid w:val="00484716"/>
    <w:rsid w:val="00484B2E"/>
    <w:rsid w:val="00484E6F"/>
    <w:rsid w:val="004851C0"/>
    <w:rsid w:val="0048572F"/>
    <w:rsid w:val="00485E90"/>
    <w:rsid w:val="00486562"/>
    <w:rsid w:val="0048739B"/>
    <w:rsid w:val="00487B55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7F5"/>
    <w:rsid w:val="004A1914"/>
    <w:rsid w:val="004A1D6A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9AF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21B5"/>
    <w:rsid w:val="00512476"/>
    <w:rsid w:val="005126F3"/>
    <w:rsid w:val="00512D07"/>
    <w:rsid w:val="0051309B"/>
    <w:rsid w:val="005136B2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AAB"/>
    <w:rsid w:val="005D7D4B"/>
    <w:rsid w:val="005E03C7"/>
    <w:rsid w:val="005E05B9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7A4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18AB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CFF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6BA"/>
    <w:rsid w:val="00707D61"/>
    <w:rsid w:val="007100B5"/>
    <w:rsid w:val="00710A1A"/>
    <w:rsid w:val="007112C6"/>
    <w:rsid w:val="00711572"/>
    <w:rsid w:val="007116EB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2889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4465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3EA8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1080"/>
    <w:rsid w:val="00891359"/>
    <w:rsid w:val="0089166D"/>
    <w:rsid w:val="0089258E"/>
    <w:rsid w:val="00892953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531"/>
    <w:rsid w:val="008C0AD9"/>
    <w:rsid w:val="008C0C99"/>
    <w:rsid w:val="008C100B"/>
    <w:rsid w:val="008C1482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185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790"/>
    <w:rsid w:val="00A2079E"/>
    <w:rsid w:val="00A20902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37D"/>
    <w:rsid w:val="00A504B2"/>
    <w:rsid w:val="00A5050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586"/>
    <w:rsid w:val="00A655C3"/>
    <w:rsid w:val="00A657D7"/>
    <w:rsid w:val="00A65B3F"/>
    <w:rsid w:val="00A65C39"/>
    <w:rsid w:val="00A65D40"/>
    <w:rsid w:val="00A660AC"/>
    <w:rsid w:val="00A6654F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BA0"/>
    <w:rsid w:val="00AA1ED6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7AB3"/>
    <w:rsid w:val="00AD0053"/>
    <w:rsid w:val="00AD0164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69C2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B03"/>
    <w:rsid w:val="00B350DC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3E74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44F1"/>
    <w:rsid w:val="00BC488B"/>
    <w:rsid w:val="00BC4BEE"/>
    <w:rsid w:val="00BC4D2E"/>
    <w:rsid w:val="00BC4E3B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26B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96A"/>
    <w:rsid w:val="00D720C1"/>
    <w:rsid w:val="00D720D5"/>
    <w:rsid w:val="00D721EF"/>
    <w:rsid w:val="00D7366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A52"/>
    <w:rsid w:val="00DE1A84"/>
    <w:rsid w:val="00DE1E22"/>
    <w:rsid w:val="00DE2387"/>
    <w:rsid w:val="00DE2647"/>
    <w:rsid w:val="00DE347F"/>
    <w:rsid w:val="00DE378F"/>
    <w:rsid w:val="00DE438F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6339"/>
    <w:rsid w:val="00E86E50"/>
    <w:rsid w:val="00E87046"/>
    <w:rsid w:val="00E87822"/>
    <w:rsid w:val="00E87AEC"/>
    <w:rsid w:val="00E90395"/>
    <w:rsid w:val="00E907A2"/>
    <w:rsid w:val="00E90E49"/>
    <w:rsid w:val="00E91518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18A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65B"/>
    <w:rsid w:val="00FB4906"/>
    <w:rsid w:val="00FB4C80"/>
    <w:rsid w:val="00FB5061"/>
    <w:rsid w:val="00FB58D9"/>
    <w:rsid w:val="00FB5B7B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A4A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pl0">
    <w:name w:val="pl"/>
    <w:basedOn w:val="Normal"/>
    <w:uiPriority w:val="99"/>
    <w:rsid w:val="00103EE5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d8762117-8292-4133-b1c7-eab5c6487cfd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purl.org/dc/terms/"/>
    <ds:schemaRef ds:uri="9b239327-9e80-40e4-b1b7-4394fed77a33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5304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ER_Rapp Pre129_HL</cp:lastModifiedBy>
  <cp:revision>3</cp:revision>
  <cp:lastPrinted>2018-03-22T16:00:00Z</cp:lastPrinted>
  <dcterms:created xsi:type="dcterms:W3CDTF">2025-02-06T09:58:00Z</dcterms:created>
  <dcterms:modified xsi:type="dcterms:W3CDTF">2025-02-06T09:58:00Z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